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A254" w14:textId="77777777" w:rsidR="00BB2E98" w:rsidRPr="00BB2E98" w:rsidRDefault="00BB2E98" w:rsidP="00E03F5B">
      <w:pPr>
        <w:pStyle w:val="NormaleWeb"/>
      </w:pPr>
      <w:r w:rsidRPr="00BB2E98">
        <w:t xml:space="preserve">Farmacocinetica di antidolorifici </w:t>
      </w:r>
      <w:proofErr w:type="spellStart"/>
      <w:r w:rsidRPr="00BB2E98">
        <w:t>oppiodi</w:t>
      </w:r>
      <w:proofErr w:type="spellEnd"/>
      <w:r w:rsidRPr="00BB2E98">
        <w:t xml:space="preserve"> in pazienti oncologici cachettici e non cachettici</w:t>
      </w:r>
    </w:p>
    <w:p w14:paraId="5B740074" w14:textId="77777777" w:rsidR="00BB2E98" w:rsidRPr="00BB2E98" w:rsidRDefault="00BB2E98" w:rsidP="004B5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92492" w14:textId="45BF3D23" w:rsidR="002B0F7D" w:rsidRPr="00BB2E98" w:rsidRDefault="009F3ECC" w:rsidP="004B5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98">
        <w:rPr>
          <w:rFonts w:ascii="Times New Roman" w:hAnsi="Times New Roman" w:cs="Times New Roman"/>
          <w:sz w:val="24"/>
          <w:szCs w:val="24"/>
        </w:rPr>
        <w:t>I</w:t>
      </w:r>
      <w:r w:rsidR="00887477" w:rsidRPr="00BB2E98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887477" w:rsidRPr="00BB2E98">
        <w:rPr>
          <w:rFonts w:ascii="Times New Roman" w:hAnsi="Times New Roman" w:cs="Times New Roman"/>
          <w:sz w:val="24"/>
          <w:szCs w:val="24"/>
        </w:rPr>
        <w:t>Fentanyl</w:t>
      </w:r>
      <w:proofErr w:type="spellEnd"/>
      <w:r w:rsidR="00887477" w:rsidRPr="00BB2E98">
        <w:rPr>
          <w:rFonts w:ascii="Times New Roman" w:hAnsi="Times New Roman" w:cs="Times New Roman"/>
          <w:sz w:val="24"/>
          <w:szCs w:val="24"/>
        </w:rPr>
        <w:t xml:space="preserve"> è un oppioide ad alta </w:t>
      </w:r>
      <w:proofErr w:type="spellStart"/>
      <w:r w:rsidR="00887477" w:rsidRPr="00BB2E98">
        <w:rPr>
          <w:rFonts w:ascii="Times New Roman" w:hAnsi="Times New Roman" w:cs="Times New Roman"/>
          <w:sz w:val="24"/>
          <w:szCs w:val="24"/>
        </w:rPr>
        <w:t>liposolubilità</w:t>
      </w:r>
      <w:proofErr w:type="spellEnd"/>
      <w:r w:rsidR="00887477" w:rsidRPr="00BB2E98">
        <w:rPr>
          <w:rFonts w:ascii="Times New Roman" w:hAnsi="Times New Roman" w:cs="Times New Roman"/>
          <w:sz w:val="24"/>
          <w:szCs w:val="24"/>
        </w:rPr>
        <w:t xml:space="preserve">, adatto alla somministrazione endovenosa, spinale, </w:t>
      </w:r>
      <w:proofErr w:type="spellStart"/>
      <w:r w:rsidR="00887477" w:rsidRPr="00BB2E98">
        <w:rPr>
          <w:rFonts w:ascii="Times New Roman" w:hAnsi="Times New Roman" w:cs="Times New Roman"/>
          <w:sz w:val="24"/>
          <w:szCs w:val="24"/>
        </w:rPr>
        <w:t>transmucosale</w:t>
      </w:r>
      <w:proofErr w:type="spellEnd"/>
      <w:r w:rsidR="00887477" w:rsidRPr="00BB2E98">
        <w:rPr>
          <w:rFonts w:ascii="Times New Roman" w:hAnsi="Times New Roman" w:cs="Times New Roman"/>
          <w:sz w:val="24"/>
          <w:szCs w:val="24"/>
        </w:rPr>
        <w:t xml:space="preserve"> e transdermica. Il cerotto </w:t>
      </w:r>
      <w:proofErr w:type="spellStart"/>
      <w:r w:rsidR="00887477" w:rsidRPr="00BB2E98">
        <w:rPr>
          <w:rFonts w:ascii="Times New Roman" w:hAnsi="Times New Roman" w:cs="Times New Roman"/>
          <w:sz w:val="24"/>
          <w:szCs w:val="24"/>
        </w:rPr>
        <w:t>Fentanyl</w:t>
      </w:r>
      <w:proofErr w:type="spellEnd"/>
      <w:r w:rsidR="00887477" w:rsidRPr="00BB2E98">
        <w:rPr>
          <w:rFonts w:ascii="Times New Roman" w:hAnsi="Times New Roman" w:cs="Times New Roman"/>
          <w:sz w:val="24"/>
          <w:szCs w:val="24"/>
        </w:rPr>
        <w:t xml:space="preserve"> transdermico (TDF) ha dimostrato di fornire un sollievo efficace e continuo dal dolore cronico correlato al cancro.</w:t>
      </w:r>
      <w:r w:rsidRPr="00BB2E98">
        <w:rPr>
          <w:rFonts w:ascii="Times New Roman" w:hAnsi="Times New Roman" w:cs="Times New Roman"/>
          <w:sz w:val="24"/>
          <w:szCs w:val="24"/>
        </w:rPr>
        <w:t xml:space="preserve"> Ad oggi</w:t>
      </w:r>
      <w:r w:rsidR="00E03F5B">
        <w:rPr>
          <w:rFonts w:ascii="Times New Roman" w:hAnsi="Times New Roman" w:cs="Times New Roman"/>
          <w:sz w:val="24"/>
          <w:szCs w:val="24"/>
        </w:rPr>
        <w:t>,</w:t>
      </w:r>
      <w:r w:rsidRPr="00BB2E98">
        <w:rPr>
          <w:rFonts w:ascii="Times New Roman" w:hAnsi="Times New Roman" w:cs="Times New Roman"/>
          <w:sz w:val="24"/>
          <w:szCs w:val="24"/>
        </w:rPr>
        <w:t xml:space="preserve"> l'utilizzo del TDF nei pazienti con cachessia è un argomento controverso. Nella pratica clinica, alcuni studi riportano che i pazienti con cancro cachettico spesso sembrano richiedere dosi transdermiche di </w:t>
      </w:r>
      <w:proofErr w:type="spellStart"/>
      <w:r w:rsidRPr="00BB2E98">
        <w:rPr>
          <w:rFonts w:ascii="Times New Roman" w:hAnsi="Times New Roman" w:cs="Times New Roman"/>
          <w:sz w:val="24"/>
          <w:szCs w:val="24"/>
        </w:rPr>
        <w:t>Fentanyl</w:t>
      </w:r>
      <w:proofErr w:type="spellEnd"/>
      <w:r w:rsidRPr="00BB2E98">
        <w:rPr>
          <w:rFonts w:ascii="Times New Roman" w:hAnsi="Times New Roman" w:cs="Times New Roman"/>
          <w:sz w:val="24"/>
          <w:szCs w:val="24"/>
        </w:rPr>
        <w:t xml:space="preserve"> più elevate per un'analgesia adeguata rispetto al peso normale o ai pazienti obesi di cancro, senza soffrire di effetti avversi agli oppioidi intollerabili. Altri studi</w:t>
      </w:r>
      <w:r w:rsidR="00F96722" w:rsidRPr="00BB2E98">
        <w:rPr>
          <w:rFonts w:ascii="Times New Roman" w:hAnsi="Times New Roman" w:cs="Times New Roman"/>
          <w:sz w:val="24"/>
          <w:szCs w:val="24"/>
        </w:rPr>
        <w:t xml:space="preserve"> riporta</w:t>
      </w:r>
      <w:r w:rsidRPr="00BB2E98">
        <w:rPr>
          <w:rFonts w:ascii="Times New Roman" w:hAnsi="Times New Roman" w:cs="Times New Roman"/>
          <w:sz w:val="24"/>
          <w:szCs w:val="24"/>
        </w:rPr>
        <w:t>no</w:t>
      </w:r>
      <w:r w:rsidR="00F96722" w:rsidRPr="00BB2E98">
        <w:rPr>
          <w:rFonts w:ascii="Times New Roman" w:hAnsi="Times New Roman" w:cs="Times New Roman"/>
          <w:sz w:val="24"/>
          <w:szCs w:val="24"/>
        </w:rPr>
        <w:t xml:space="preserve"> che</w:t>
      </w:r>
      <w:r w:rsidR="002B0F7D" w:rsidRPr="00BB2E98">
        <w:rPr>
          <w:rFonts w:ascii="Times New Roman" w:hAnsi="Times New Roman" w:cs="Times New Roman"/>
          <w:sz w:val="24"/>
          <w:szCs w:val="24"/>
        </w:rPr>
        <w:t xml:space="preserve"> le modifiche fisiopatologiche associate alla cachessia non abbiano un impatto significativo o addirittura migliorino la risposta al farmaco</w:t>
      </w:r>
      <w:r w:rsidRPr="00BB2E98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BB2E9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https://doi.org/10.1016/j.pain.2009.04.012</w:t>
        </w:r>
      </w:hyperlink>
      <w:r w:rsidRPr="00BB2E98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Pr="00BB2E9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https://doi.org/10.1248/bpb.b13-00717</w:t>
        </w:r>
      </w:hyperlink>
      <w:r w:rsidRPr="00BB2E98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Pr="00BB2E9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https://doi.org/10.1097/AJP.0b013e318266f6a5</w:t>
        </w:r>
      </w:hyperlink>
      <w:r w:rsidRPr="00BB2E98">
        <w:rPr>
          <w:rFonts w:ascii="Times New Roman" w:hAnsi="Times New Roman" w:cs="Times New Roman"/>
          <w:sz w:val="24"/>
          <w:szCs w:val="24"/>
        </w:rPr>
        <w:t>)</w:t>
      </w:r>
      <w:r w:rsidR="00C23486">
        <w:rPr>
          <w:rFonts w:ascii="Times New Roman" w:hAnsi="Times New Roman" w:cs="Times New Roman"/>
          <w:sz w:val="24"/>
          <w:szCs w:val="24"/>
        </w:rPr>
        <w:t>.</w:t>
      </w:r>
    </w:p>
    <w:p w14:paraId="0E1E3B72" w14:textId="5A532F7F" w:rsidR="002B0F7D" w:rsidRPr="00BB2E98" w:rsidRDefault="009F3ECC" w:rsidP="004B5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98">
        <w:rPr>
          <w:rFonts w:ascii="Times New Roman" w:hAnsi="Times New Roman" w:cs="Times New Roman"/>
          <w:sz w:val="24"/>
          <w:szCs w:val="24"/>
        </w:rPr>
        <w:t>L</w:t>
      </w:r>
      <w:r w:rsidR="002B0F7D" w:rsidRPr="00BB2E98">
        <w:rPr>
          <w:rFonts w:ascii="Times New Roman" w:hAnsi="Times New Roman" w:cs="Times New Roman"/>
          <w:sz w:val="24"/>
          <w:szCs w:val="24"/>
        </w:rPr>
        <w:t xml:space="preserve">e evidenze attuali </w:t>
      </w:r>
      <w:r w:rsidRPr="00BB2E98">
        <w:rPr>
          <w:rFonts w:ascii="Times New Roman" w:hAnsi="Times New Roman" w:cs="Times New Roman"/>
          <w:sz w:val="24"/>
          <w:szCs w:val="24"/>
        </w:rPr>
        <w:t xml:space="preserve">in letteratura sono </w:t>
      </w:r>
      <w:r w:rsidR="000A6838" w:rsidRPr="00BB2E98">
        <w:rPr>
          <w:rFonts w:ascii="Times New Roman" w:hAnsi="Times New Roman" w:cs="Times New Roman"/>
          <w:sz w:val="24"/>
          <w:szCs w:val="24"/>
        </w:rPr>
        <w:t>perciò</w:t>
      </w:r>
      <w:r w:rsidRPr="00BB2E98">
        <w:rPr>
          <w:rFonts w:ascii="Times New Roman" w:hAnsi="Times New Roman" w:cs="Times New Roman"/>
          <w:sz w:val="24"/>
          <w:szCs w:val="24"/>
        </w:rPr>
        <w:t xml:space="preserve"> </w:t>
      </w:r>
      <w:r w:rsidR="002B0F7D" w:rsidRPr="00BB2E98">
        <w:rPr>
          <w:rFonts w:ascii="Times New Roman" w:hAnsi="Times New Roman" w:cs="Times New Roman"/>
          <w:sz w:val="24"/>
          <w:szCs w:val="24"/>
        </w:rPr>
        <w:t xml:space="preserve">insufficienti per fornire raccomandazioni definitive riguardo la prescrizione o l'aggiustamento della dose del TDF nei pazienti con cachessia. L'eterogeneità degli studi esistenti, la variabilità degli interventi e delle misure di </w:t>
      </w:r>
      <w:proofErr w:type="spellStart"/>
      <w:r w:rsidR="002B0F7D" w:rsidRPr="00BB2E98"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 w:rsidR="002B0F7D" w:rsidRPr="00BB2E98">
        <w:rPr>
          <w:rFonts w:ascii="Times New Roman" w:hAnsi="Times New Roman" w:cs="Times New Roman"/>
          <w:sz w:val="24"/>
          <w:szCs w:val="24"/>
        </w:rPr>
        <w:t>, e la mancanza di dati farmacocinetici solidi sul TDF in questa popolazione, contribuiscono a tale incertezza.</w:t>
      </w:r>
    </w:p>
    <w:p w14:paraId="167C9C2B" w14:textId="6712ABF3" w:rsidR="00C23486" w:rsidRDefault="00C23486" w:rsidP="004B5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98">
        <w:rPr>
          <w:rFonts w:ascii="Times New Roman" w:hAnsi="Times New Roman" w:cs="Times New Roman"/>
          <w:sz w:val="24"/>
          <w:szCs w:val="24"/>
        </w:rPr>
        <w:t>La ricerca in oggetto</w:t>
      </w:r>
      <w:r>
        <w:rPr>
          <w:rFonts w:ascii="Times New Roman" w:hAnsi="Times New Roman" w:cs="Times New Roman"/>
          <w:sz w:val="24"/>
          <w:szCs w:val="24"/>
        </w:rPr>
        <w:t xml:space="preserve"> è un approfondimento </w:t>
      </w:r>
      <w:r w:rsidRPr="00C23486">
        <w:rPr>
          <w:rFonts w:ascii="Times New Roman" w:hAnsi="Times New Roman" w:cs="Times New Roman"/>
          <w:sz w:val="24"/>
          <w:szCs w:val="24"/>
        </w:rPr>
        <w:t>di uno studio precedente</w:t>
      </w:r>
      <w:r>
        <w:rPr>
          <w:rFonts w:ascii="Times New Roman" w:hAnsi="Times New Roman" w:cs="Times New Roman"/>
          <w:sz w:val="24"/>
          <w:szCs w:val="24"/>
        </w:rPr>
        <w:t xml:space="preserve">mente svolto in collaborazione con </w:t>
      </w:r>
      <w:r w:rsidRPr="00C23486">
        <w:rPr>
          <w:rFonts w:ascii="Times New Roman" w:hAnsi="Times New Roman" w:cs="Times New Roman"/>
          <w:sz w:val="24"/>
          <w:szCs w:val="24"/>
        </w:rPr>
        <w:t>Istituto Romagnolo per lo Studio dei Tumori "Dino Amadori"</w:t>
      </w:r>
      <w:r w:rsidR="008F0763">
        <w:rPr>
          <w:rFonts w:ascii="Times New Roman" w:hAnsi="Times New Roman" w:cs="Times New Roman"/>
          <w:sz w:val="24"/>
          <w:szCs w:val="24"/>
        </w:rPr>
        <w:t xml:space="preserve"> (IRST</w:t>
      </w:r>
      <w:r w:rsidRPr="00C23486">
        <w:rPr>
          <w:rFonts w:ascii="Times New Roman" w:hAnsi="Times New Roman" w:cs="Times New Roman"/>
          <w:sz w:val="24"/>
          <w:szCs w:val="24"/>
        </w:rPr>
        <w:t>),</w:t>
      </w:r>
      <w:r w:rsidR="008F0763">
        <w:rPr>
          <w:rFonts w:ascii="Times New Roman" w:hAnsi="Times New Roman" w:cs="Times New Roman"/>
          <w:sz w:val="24"/>
          <w:szCs w:val="24"/>
        </w:rPr>
        <w:t xml:space="preserve"> Meldola,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C23486">
        <w:rPr>
          <w:rFonts w:ascii="Times New Roman" w:hAnsi="Times New Roman" w:cs="Times New Roman"/>
          <w:sz w:val="24"/>
          <w:szCs w:val="24"/>
        </w:rPr>
        <w:t xml:space="preserve">ervito a sviluppare 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C23486">
        <w:rPr>
          <w:rFonts w:ascii="Times New Roman" w:hAnsi="Times New Roman" w:cs="Times New Roman"/>
          <w:sz w:val="24"/>
          <w:szCs w:val="24"/>
        </w:rPr>
        <w:t xml:space="preserve"> metodo </w:t>
      </w:r>
      <w:r w:rsidRPr="00BB2E98">
        <w:rPr>
          <w:rStyle w:val="rynqvb"/>
          <w:rFonts w:ascii="Times New Roman" w:hAnsi="Times New Roman" w:cs="Times New Roman"/>
          <w:sz w:val="24"/>
          <w:szCs w:val="24"/>
        </w:rPr>
        <w:t>gascromatografic</w:t>
      </w:r>
      <w:r>
        <w:rPr>
          <w:rStyle w:val="rynqvb"/>
          <w:rFonts w:ascii="Times New Roman" w:hAnsi="Times New Roman" w:cs="Times New Roman"/>
          <w:sz w:val="24"/>
          <w:szCs w:val="24"/>
        </w:rPr>
        <w:t>o</w:t>
      </w:r>
      <w:r w:rsidRPr="00BB2E98">
        <w:rPr>
          <w:rStyle w:val="rynqvb"/>
          <w:rFonts w:ascii="Times New Roman" w:hAnsi="Times New Roman" w:cs="Times New Roman"/>
          <w:sz w:val="24"/>
          <w:szCs w:val="24"/>
        </w:rPr>
        <w:t>-spettrometric</w:t>
      </w:r>
      <w:r>
        <w:rPr>
          <w:rStyle w:val="rynqvb"/>
          <w:rFonts w:ascii="Times New Roman" w:hAnsi="Times New Roman" w:cs="Times New Roman"/>
          <w:sz w:val="24"/>
          <w:szCs w:val="24"/>
        </w:rPr>
        <w:t>o</w:t>
      </w:r>
      <w:r w:rsidRPr="00BB2E98">
        <w:rPr>
          <w:rStyle w:val="rynqvb"/>
          <w:rFonts w:ascii="Times New Roman" w:hAnsi="Times New Roman" w:cs="Times New Roman"/>
          <w:sz w:val="24"/>
          <w:szCs w:val="24"/>
        </w:rPr>
        <w:t xml:space="preserve"> di massa (GC-MS) in modalità SIM</w:t>
      </w:r>
      <w:r>
        <w:rPr>
          <w:rStyle w:val="rynqvb"/>
          <w:rFonts w:ascii="Times New Roman" w:hAnsi="Times New Roman" w:cs="Times New Roman"/>
          <w:sz w:val="24"/>
          <w:szCs w:val="24"/>
        </w:rPr>
        <w:t xml:space="preserve"> per verificare i</w:t>
      </w:r>
      <w:r w:rsidRPr="00C23486">
        <w:rPr>
          <w:rFonts w:ascii="Times New Roman" w:hAnsi="Times New Roman" w:cs="Times New Roman"/>
          <w:sz w:val="24"/>
          <w:szCs w:val="24"/>
        </w:rPr>
        <w:t xml:space="preserve"> livelli ematici dopo applicazione del </w:t>
      </w:r>
      <w:r>
        <w:rPr>
          <w:rFonts w:ascii="Times New Roman" w:hAnsi="Times New Roman" w:cs="Times New Roman"/>
          <w:sz w:val="24"/>
          <w:szCs w:val="24"/>
        </w:rPr>
        <w:t>TDF</w:t>
      </w:r>
      <w:r w:rsidRPr="00C23486">
        <w:rPr>
          <w:rFonts w:ascii="Times New Roman" w:hAnsi="Times New Roman" w:cs="Times New Roman"/>
          <w:sz w:val="24"/>
          <w:szCs w:val="24"/>
        </w:rPr>
        <w:t xml:space="preserve"> su una coorte di 50 pazienti</w:t>
      </w:r>
      <w:r>
        <w:rPr>
          <w:rFonts w:ascii="Times New Roman" w:hAnsi="Times New Roman" w:cs="Times New Roman"/>
          <w:sz w:val="24"/>
          <w:szCs w:val="24"/>
        </w:rPr>
        <w:t xml:space="preserve"> affetti da cancro (</w:t>
      </w:r>
      <w:hyperlink r:id="rId11" w:tgtFrame="_blank" w:tooltip="Persistent link using digital object identifier" w:history="1">
        <w:r w:rsidRPr="00C23486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https://doi.org/10.1016/j.jpba.2022.114913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3F8E2AF3" w14:textId="31FBC907" w:rsidR="00C23486" w:rsidRDefault="00C23486" w:rsidP="004B5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nuovo progetto </w:t>
      </w:r>
      <w:r w:rsidR="000A6838" w:rsidRPr="00BB2E98">
        <w:rPr>
          <w:rFonts w:ascii="Times New Roman" w:hAnsi="Times New Roman" w:cs="Times New Roman"/>
          <w:sz w:val="24"/>
          <w:szCs w:val="24"/>
        </w:rPr>
        <w:t xml:space="preserve">propone uno studio </w:t>
      </w:r>
      <w:r w:rsidR="002B0F7D" w:rsidRPr="00BB2E98">
        <w:rPr>
          <w:rFonts w:ascii="Times New Roman" w:hAnsi="Times New Roman" w:cs="Times New Roman"/>
          <w:sz w:val="24"/>
          <w:szCs w:val="24"/>
        </w:rPr>
        <w:t xml:space="preserve">clinico prospettico </w:t>
      </w:r>
      <w:r w:rsidR="00077A5A" w:rsidRPr="00BB2E98">
        <w:rPr>
          <w:rFonts w:ascii="Times New Roman" w:hAnsi="Times New Roman" w:cs="Times New Roman"/>
          <w:sz w:val="24"/>
          <w:szCs w:val="24"/>
        </w:rPr>
        <w:t>volto all’esame</w:t>
      </w:r>
      <w:r w:rsidR="002B0F7D" w:rsidRPr="00BB2E98">
        <w:rPr>
          <w:rFonts w:ascii="Times New Roman" w:hAnsi="Times New Roman" w:cs="Times New Roman"/>
          <w:sz w:val="24"/>
          <w:szCs w:val="24"/>
        </w:rPr>
        <w:t xml:space="preserve"> sia </w:t>
      </w:r>
      <w:r w:rsidR="00077A5A" w:rsidRPr="00BB2E98">
        <w:rPr>
          <w:rFonts w:ascii="Times New Roman" w:hAnsi="Times New Roman" w:cs="Times New Roman"/>
          <w:sz w:val="24"/>
          <w:szCs w:val="24"/>
        </w:rPr>
        <w:t>de</w:t>
      </w:r>
      <w:r w:rsidR="002B0F7D" w:rsidRPr="00BB2E98">
        <w:rPr>
          <w:rFonts w:ascii="Times New Roman" w:hAnsi="Times New Roman" w:cs="Times New Roman"/>
          <w:sz w:val="24"/>
          <w:szCs w:val="24"/>
        </w:rPr>
        <w:t xml:space="preserve">gli aspetti clinici che </w:t>
      </w:r>
      <w:r w:rsidR="00077A5A" w:rsidRPr="00BB2E98">
        <w:rPr>
          <w:rFonts w:ascii="Times New Roman" w:hAnsi="Times New Roman" w:cs="Times New Roman"/>
          <w:sz w:val="24"/>
          <w:szCs w:val="24"/>
        </w:rPr>
        <w:t xml:space="preserve">di </w:t>
      </w:r>
      <w:r w:rsidR="002B0F7D" w:rsidRPr="00BB2E98">
        <w:rPr>
          <w:rFonts w:ascii="Times New Roman" w:hAnsi="Times New Roman" w:cs="Times New Roman"/>
          <w:sz w:val="24"/>
          <w:szCs w:val="24"/>
        </w:rPr>
        <w:t>quelli farmacocinetici della somministrazione del TDF nei pazienti cachettici</w:t>
      </w:r>
      <w:r w:rsidR="00077A5A" w:rsidRPr="00BB2E98">
        <w:rPr>
          <w:rFonts w:ascii="Times New Roman" w:hAnsi="Times New Roman" w:cs="Times New Roman"/>
          <w:sz w:val="24"/>
          <w:szCs w:val="24"/>
        </w:rPr>
        <w:t xml:space="preserve"> allo scopo di valutare l'effettivo impatto della cachessia sulla risposta al TDF, identificare eventuali correlati farmacocinetici e comprendere quale fase della farmacocinetica del farmaco potrebbe essere coinvolta. </w:t>
      </w:r>
      <w:r w:rsidR="008F0763">
        <w:rPr>
          <w:rFonts w:ascii="Times New Roman" w:hAnsi="Times New Roman" w:cs="Times New Roman"/>
          <w:sz w:val="24"/>
          <w:szCs w:val="24"/>
        </w:rPr>
        <w:t xml:space="preserve">La valutazione di possibili correlazioni tra </w:t>
      </w:r>
      <w:r w:rsidR="008F0763" w:rsidRPr="00C23486">
        <w:rPr>
          <w:rFonts w:ascii="Times New Roman" w:hAnsi="Times New Roman" w:cs="Times New Roman"/>
          <w:sz w:val="24"/>
          <w:szCs w:val="24"/>
        </w:rPr>
        <w:t>farmacocinetica ed aspetti clinici</w:t>
      </w:r>
      <w:r w:rsidR="008F0763">
        <w:rPr>
          <w:rFonts w:ascii="Times New Roman" w:hAnsi="Times New Roman" w:cs="Times New Roman"/>
          <w:sz w:val="24"/>
          <w:szCs w:val="24"/>
        </w:rPr>
        <w:t xml:space="preserve"> sarà seguita da Andrea Carlini (IRST) e dal prof. Marco Maltoni (IRST).</w:t>
      </w:r>
    </w:p>
    <w:p w14:paraId="38DB3006" w14:textId="4615709E" w:rsidR="002B0F7D" w:rsidRPr="00BB2E98" w:rsidRDefault="002B0F7D" w:rsidP="004B5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98">
        <w:rPr>
          <w:rFonts w:ascii="Times New Roman" w:hAnsi="Times New Roman" w:cs="Times New Roman"/>
          <w:sz w:val="24"/>
          <w:szCs w:val="24"/>
        </w:rPr>
        <w:t xml:space="preserve">A tal fine, </w:t>
      </w:r>
      <w:r w:rsidR="00077A5A" w:rsidRPr="00BB2E98">
        <w:rPr>
          <w:rFonts w:ascii="Times New Roman" w:hAnsi="Times New Roman" w:cs="Times New Roman"/>
          <w:sz w:val="24"/>
          <w:szCs w:val="24"/>
        </w:rPr>
        <w:t>saranno arruolate</w:t>
      </w:r>
      <w:r w:rsidRPr="00BB2E98">
        <w:rPr>
          <w:rFonts w:ascii="Times New Roman" w:hAnsi="Times New Roman" w:cs="Times New Roman"/>
          <w:sz w:val="24"/>
          <w:szCs w:val="24"/>
        </w:rPr>
        <w:t xml:space="preserve"> due coorti di pazienti</w:t>
      </w:r>
      <w:r w:rsidR="00E03F5B" w:rsidRPr="00E03F5B">
        <w:rPr>
          <w:rFonts w:ascii="Times New Roman" w:hAnsi="Times New Roman" w:cs="Times New Roman"/>
          <w:sz w:val="24"/>
          <w:szCs w:val="24"/>
        </w:rPr>
        <w:t xml:space="preserve"> </w:t>
      </w:r>
      <w:r w:rsidR="00E03F5B" w:rsidRPr="00BB2E98">
        <w:rPr>
          <w:rFonts w:ascii="Times New Roman" w:hAnsi="Times New Roman" w:cs="Times New Roman"/>
          <w:sz w:val="24"/>
          <w:szCs w:val="24"/>
        </w:rPr>
        <w:t>trattati con TDF</w:t>
      </w:r>
      <w:r w:rsidRPr="00BB2E98">
        <w:rPr>
          <w:rFonts w:ascii="Times New Roman" w:hAnsi="Times New Roman" w:cs="Times New Roman"/>
          <w:sz w:val="24"/>
          <w:szCs w:val="24"/>
        </w:rPr>
        <w:t xml:space="preserve"> differenziate solo per la presenza o meno di cachessia</w:t>
      </w:r>
      <w:r w:rsidR="00E03F5B">
        <w:rPr>
          <w:rFonts w:ascii="Times New Roman" w:hAnsi="Times New Roman" w:cs="Times New Roman"/>
          <w:sz w:val="24"/>
          <w:szCs w:val="24"/>
        </w:rPr>
        <w:t>,</w:t>
      </w:r>
      <w:r w:rsidRPr="00BB2E98">
        <w:rPr>
          <w:rFonts w:ascii="Times New Roman" w:hAnsi="Times New Roman" w:cs="Times New Roman"/>
          <w:sz w:val="24"/>
          <w:szCs w:val="24"/>
        </w:rPr>
        <w:t xml:space="preserve"> </w:t>
      </w:r>
      <w:r w:rsidR="00077A5A" w:rsidRPr="00BB2E98">
        <w:rPr>
          <w:rFonts w:ascii="Times New Roman" w:hAnsi="Times New Roman" w:cs="Times New Roman"/>
          <w:sz w:val="24"/>
          <w:szCs w:val="24"/>
        </w:rPr>
        <w:t>per</w:t>
      </w:r>
      <w:r w:rsidRPr="00BB2E98">
        <w:rPr>
          <w:rFonts w:ascii="Times New Roman" w:hAnsi="Times New Roman" w:cs="Times New Roman"/>
          <w:sz w:val="24"/>
          <w:szCs w:val="24"/>
        </w:rPr>
        <w:t xml:space="preserve"> valutare con le tempistiche appropriate gli </w:t>
      </w:r>
      <w:proofErr w:type="spellStart"/>
      <w:r w:rsidRPr="00BB2E98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BB2E98">
        <w:rPr>
          <w:rFonts w:ascii="Times New Roman" w:hAnsi="Times New Roman" w:cs="Times New Roman"/>
          <w:sz w:val="24"/>
          <w:szCs w:val="24"/>
        </w:rPr>
        <w:t xml:space="preserve"> clinici (intensità della sintomatologia dolorosa, dosaggio del TDF e carico di effetti avversi) e i parametri farmacocinetici (concentrazione dose-</w:t>
      </w:r>
      <w:proofErr w:type="spellStart"/>
      <w:r w:rsidRPr="00BB2E98">
        <w:rPr>
          <w:rFonts w:ascii="Times New Roman" w:hAnsi="Times New Roman" w:cs="Times New Roman"/>
          <w:sz w:val="24"/>
          <w:szCs w:val="24"/>
        </w:rPr>
        <w:t>adjusted</w:t>
      </w:r>
      <w:proofErr w:type="spellEnd"/>
      <w:r w:rsidRPr="00BB2E9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77A5A" w:rsidRPr="00BB2E98">
        <w:rPr>
          <w:rFonts w:ascii="Times New Roman" w:hAnsi="Times New Roman" w:cs="Times New Roman"/>
          <w:sz w:val="24"/>
          <w:szCs w:val="24"/>
        </w:rPr>
        <w:t>F</w:t>
      </w:r>
      <w:r w:rsidRPr="00BB2E98">
        <w:rPr>
          <w:rFonts w:ascii="Times New Roman" w:hAnsi="Times New Roman" w:cs="Times New Roman"/>
          <w:sz w:val="24"/>
          <w:szCs w:val="24"/>
        </w:rPr>
        <w:t>entanyl</w:t>
      </w:r>
      <w:proofErr w:type="spellEnd"/>
      <w:r w:rsidRPr="00BB2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B2E98">
        <w:rPr>
          <w:rFonts w:ascii="Times New Roman" w:hAnsi="Times New Roman" w:cs="Times New Roman"/>
          <w:sz w:val="24"/>
          <w:szCs w:val="24"/>
        </w:rPr>
        <w:t>transepidermal</w:t>
      </w:r>
      <w:proofErr w:type="spellEnd"/>
      <w:r w:rsidRPr="00BB2E98">
        <w:rPr>
          <w:rFonts w:ascii="Times New Roman" w:hAnsi="Times New Roman" w:cs="Times New Roman"/>
          <w:sz w:val="24"/>
          <w:szCs w:val="24"/>
        </w:rPr>
        <w:t xml:space="preserve"> water </w:t>
      </w:r>
      <w:proofErr w:type="spellStart"/>
      <w:r w:rsidRPr="00BB2E98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BB2E98">
        <w:rPr>
          <w:rFonts w:ascii="Times New Roman" w:hAnsi="Times New Roman" w:cs="Times New Roman"/>
          <w:sz w:val="24"/>
          <w:szCs w:val="24"/>
        </w:rPr>
        <w:t>).</w:t>
      </w:r>
      <w:r w:rsidR="00077A5A" w:rsidRPr="00BB2E98">
        <w:rPr>
          <w:rFonts w:ascii="Times New Roman" w:hAnsi="Times New Roman" w:cs="Times New Roman"/>
          <w:sz w:val="24"/>
          <w:szCs w:val="24"/>
        </w:rPr>
        <w:t xml:space="preserve"> I c</w:t>
      </w:r>
      <w:r w:rsidR="00077A5A" w:rsidRPr="00BB2E98">
        <w:rPr>
          <w:rStyle w:val="rynqvb"/>
          <w:rFonts w:ascii="Times New Roman" w:hAnsi="Times New Roman" w:cs="Times New Roman"/>
          <w:sz w:val="24"/>
          <w:szCs w:val="24"/>
        </w:rPr>
        <w:t>ampioni di sangue saranno raccolti in cinque intervalli di esposizione del TDF: 6, 18, 48 e 72 ore dopo l'applicazione.</w:t>
      </w:r>
    </w:p>
    <w:p w14:paraId="177B7B51" w14:textId="1760A2CA" w:rsidR="002B0F7D" w:rsidRPr="002B0F7D" w:rsidRDefault="00077A5A" w:rsidP="004B53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E98">
        <w:rPr>
          <w:rFonts w:ascii="Times New Roman" w:hAnsi="Times New Roman" w:cs="Times New Roman"/>
          <w:sz w:val="24"/>
          <w:szCs w:val="24"/>
        </w:rPr>
        <w:lastRenderedPageBreak/>
        <w:t xml:space="preserve">A tal fine il borsista dovrà quantificare la </w:t>
      </w:r>
      <w:r w:rsidR="002B0F7D" w:rsidRPr="002B0F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concentrazione sierica di </w:t>
      </w:r>
      <w:proofErr w:type="spellStart"/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2B0F7D" w:rsidRPr="002B0F7D">
        <w:rPr>
          <w:rFonts w:ascii="Times New Roman" w:eastAsia="Times New Roman" w:hAnsi="Times New Roman" w:cs="Times New Roman"/>
          <w:sz w:val="24"/>
          <w:szCs w:val="24"/>
          <w:lang w:eastAsia="it-IT"/>
        </w:rPr>
        <w:t>entanyl</w:t>
      </w:r>
      <w:proofErr w:type="spellEnd"/>
      <w:r w:rsidR="002B0F7D" w:rsidRPr="002B0F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>dei pazienti arruolati.</w:t>
      </w:r>
      <w:r w:rsidR="008F07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un primo step, il </w:t>
      </w:r>
      <w:proofErr w:type="spellStart"/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>Fentanyl</w:t>
      </w:r>
      <w:proofErr w:type="spellEnd"/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="00E03F5B">
        <w:rPr>
          <w:rFonts w:ascii="Times New Roman" w:eastAsia="Times New Roman" w:hAnsi="Times New Roman" w:cs="Times New Roman"/>
          <w:sz w:val="24"/>
          <w:szCs w:val="24"/>
          <w:lang w:eastAsia="it-IT"/>
        </w:rPr>
        <w:t>ovrà</w:t>
      </w:r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estratto dai campioni di sangue </w:t>
      </w:r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intero </w:t>
      </w:r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>mediante una est</w:t>
      </w:r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azione </w:t>
      </w:r>
      <w:r w:rsidR="00E03F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tipo </w:t>
      </w:r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>liquido-liquido.</w:t>
      </w:r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soluzione </w:t>
      </w:r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ottenuta sarà poi analizzata </w:t>
      </w:r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mediante </w:t>
      </w:r>
      <w:r w:rsidR="004B535B" w:rsidRPr="00BB2E98">
        <w:rPr>
          <w:rStyle w:val="rynqvb"/>
          <w:rFonts w:ascii="Times New Roman" w:hAnsi="Times New Roman" w:cs="Times New Roman"/>
          <w:sz w:val="24"/>
          <w:szCs w:val="24"/>
        </w:rPr>
        <w:t>procedura analitica GC-MS in modalità SIM</w:t>
      </w:r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>Saranno</w:t>
      </w:r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eseguite due LLE indipendenti su ciascun campione di sangue d</w:t>
      </w:r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>i ogni</w:t>
      </w:r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pazient</w:t>
      </w:r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>e.</w:t>
      </w:r>
      <w:r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>Sar</w:t>
      </w:r>
      <w:r w:rsidR="00E03F5B">
        <w:rPr>
          <w:rFonts w:ascii="Times New Roman" w:eastAsia="Times New Roman" w:hAnsi="Times New Roman" w:cs="Times New Roman"/>
          <w:sz w:val="24"/>
          <w:szCs w:val="24"/>
          <w:lang w:eastAsia="it-IT"/>
        </w:rPr>
        <w:t>anno</w:t>
      </w:r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poi determinat</w:t>
      </w:r>
      <w:r w:rsidR="00E03F5B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 w:rsidR="00E03F5B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concentrazion</w:t>
      </w:r>
      <w:r w:rsidR="00E03F5B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>Fentanyl</w:t>
      </w:r>
      <w:proofErr w:type="spellEnd"/>
      <w:r w:rsidR="004B535B" w:rsidRPr="00BB2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BB2E98">
        <w:rPr>
          <w:rStyle w:val="rynqvb"/>
          <w:rFonts w:ascii="Times New Roman" w:hAnsi="Times New Roman" w:cs="Times New Roman"/>
          <w:sz w:val="24"/>
          <w:szCs w:val="24"/>
        </w:rPr>
        <w:t>i</w:t>
      </w:r>
      <w:r w:rsidR="004B535B" w:rsidRPr="00BB2E98">
        <w:rPr>
          <w:rStyle w:val="rynqvb"/>
          <w:rFonts w:ascii="Times New Roman" w:hAnsi="Times New Roman" w:cs="Times New Roman"/>
          <w:sz w:val="24"/>
          <w:szCs w:val="24"/>
        </w:rPr>
        <w:t xml:space="preserve"> rispettivi</w:t>
      </w:r>
      <w:r w:rsidRPr="00BB2E98">
        <w:rPr>
          <w:rStyle w:val="rynqvb"/>
          <w:rFonts w:ascii="Times New Roman" w:hAnsi="Times New Roman" w:cs="Times New Roman"/>
          <w:sz w:val="24"/>
          <w:szCs w:val="24"/>
        </w:rPr>
        <w:t xml:space="preserve"> parametri farmacocinetici (AUC, Cmax e </w:t>
      </w:r>
      <w:proofErr w:type="spellStart"/>
      <w:r w:rsidRPr="00BB2E98">
        <w:rPr>
          <w:rStyle w:val="rynqvb"/>
          <w:rFonts w:ascii="Times New Roman" w:hAnsi="Times New Roman" w:cs="Times New Roman"/>
          <w:sz w:val="24"/>
          <w:szCs w:val="24"/>
        </w:rPr>
        <w:t>Tmax</w:t>
      </w:r>
      <w:proofErr w:type="spellEnd"/>
      <w:r w:rsidRPr="00BB2E98">
        <w:rPr>
          <w:rStyle w:val="rynqvb"/>
          <w:rFonts w:ascii="Times New Roman" w:hAnsi="Times New Roman" w:cs="Times New Roman"/>
          <w:sz w:val="24"/>
          <w:szCs w:val="24"/>
        </w:rPr>
        <w:t>).</w:t>
      </w:r>
    </w:p>
    <w:p w14:paraId="7AFD2115" w14:textId="77777777" w:rsidR="002B0F7D" w:rsidRDefault="002B0F7D" w:rsidP="009F3ECC">
      <w:pPr>
        <w:jc w:val="both"/>
      </w:pPr>
    </w:p>
    <w:sectPr w:rsidR="002B0F7D" w:rsidSect="0060737B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C010A"/>
    <w:multiLevelType w:val="multilevel"/>
    <w:tmpl w:val="1B2E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7D"/>
    <w:rsid w:val="00045ADB"/>
    <w:rsid w:val="00077A5A"/>
    <w:rsid w:val="000A6838"/>
    <w:rsid w:val="00286AEC"/>
    <w:rsid w:val="002B0F7D"/>
    <w:rsid w:val="00460F21"/>
    <w:rsid w:val="004B535B"/>
    <w:rsid w:val="0060737B"/>
    <w:rsid w:val="006700E7"/>
    <w:rsid w:val="00887477"/>
    <w:rsid w:val="008F0763"/>
    <w:rsid w:val="009F3ECC"/>
    <w:rsid w:val="00BB2E98"/>
    <w:rsid w:val="00C23486"/>
    <w:rsid w:val="00E03F5B"/>
    <w:rsid w:val="00F9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56A7"/>
  <w15:chartTrackingRefBased/>
  <w15:docId w15:val="{9CD7AE0C-DA7D-4FC2-8695-25B1F219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2B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uxsjwiqpa">
    <w:name w:val="markuxsjwiqpa"/>
    <w:basedOn w:val="Carpredefinitoparagrafo"/>
    <w:rsid w:val="002B0F7D"/>
  </w:style>
  <w:style w:type="character" w:styleId="Collegamentoipertestuale">
    <w:name w:val="Hyperlink"/>
    <w:basedOn w:val="Carpredefinitoparagrafo"/>
    <w:uiPriority w:val="99"/>
    <w:unhideWhenUsed/>
    <w:rsid w:val="009F3E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3ECC"/>
    <w:rPr>
      <w:color w:val="605E5C"/>
      <w:shd w:val="clear" w:color="auto" w:fill="E1DFDD"/>
    </w:rPr>
  </w:style>
  <w:style w:type="character" w:customStyle="1" w:styleId="hwtze">
    <w:name w:val="hwtze"/>
    <w:basedOn w:val="Carpredefinitoparagrafo"/>
    <w:rsid w:val="00077A5A"/>
  </w:style>
  <w:style w:type="character" w:customStyle="1" w:styleId="rynqvb">
    <w:name w:val="rynqvb"/>
    <w:basedOn w:val="Carpredefinitoparagrafo"/>
    <w:rsid w:val="00077A5A"/>
  </w:style>
  <w:style w:type="paragraph" w:styleId="NormaleWeb">
    <w:name w:val="Normal (Web)"/>
    <w:basedOn w:val="Normale"/>
    <w:uiPriority w:val="99"/>
    <w:semiHidden/>
    <w:unhideWhenUsed/>
    <w:rsid w:val="00BB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ain.2009.04.012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16/j.jpba.2022.114913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10.1097/AJP.0b013e318266f6a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248/bpb.b13-0071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c004ca-ccb1-4f0b-b67f-49ede2a52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3CB2774721D40A3D8F20859A35295" ma:contentTypeVersion="18" ma:contentTypeDescription="Create a new document." ma:contentTypeScope="" ma:versionID="e24dcd06d89c7c652f27a0daff158c0e">
  <xsd:schema xmlns:xsd="http://www.w3.org/2001/XMLSchema" xmlns:xs="http://www.w3.org/2001/XMLSchema" xmlns:p="http://schemas.microsoft.com/office/2006/metadata/properties" xmlns:ns3="a4c004ca-ccb1-4f0b-b67f-49ede2a52919" xmlns:ns4="8b463bd5-be94-4387-a3e7-09b2cc765335" targetNamespace="http://schemas.microsoft.com/office/2006/metadata/properties" ma:root="true" ma:fieldsID="377a85f86a2a581116a591cd0665698a" ns3:_="" ns4:_="">
    <xsd:import namespace="a4c004ca-ccb1-4f0b-b67f-49ede2a52919"/>
    <xsd:import namespace="8b463bd5-be94-4387-a3e7-09b2cc765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04ca-ccb1-4f0b-b67f-49ede2a52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63bd5-be94-4387-a3e7-09b2cc765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48A25-C2A4-4EB0-B0D3-9EEAE0130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5CD23-D17F-49C6-B448-7CF5AD39B68D}">
  <ds:schemaRefs>
    <ds:schemaRef ds:uri="http://schemas.microsoft.com/office/2006/metadata/properties"/>
    <ds:schemaRef ds:uri="http://schemas.microsoft.com/office/infopath/2007/PartnerControls"/>
    <ds:schemaRef ds:uri="a4c004ca-ccb1-4f0b-b67f-49ede2a52919"/>
  </ds:schemaRefs>
</ds:datastoreItem>
</file>

<file path=customXml/itemProps3.xml><?xml version="1.0" encoding="utf-8"?>
<ds:datastoreItem xmlns:ds="http://schemas.openxmlformats.org/officeDocument/2006/customXml" ds:itemID="{8C31BCD6-E352-46DA-9788-AF866B757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04ca-ccb1-4f0b-b67f-49ede2a52919"/>
    <ds:schemaRef ds:uri="8b463bd5-be94-4387-a3e7-09b2cc765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- Universita di Bologna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Montanari</dc:creator>
  <cp:keywords/>
  <dc:description/>
  <cp:lastModifiedBy>Vincenza Andrisano</cp:lastModifiedBy>
  <cp:revision>2</cp:revision>
  <dcterms:created xsi:type="dcterms:W3CDTF">2026-01-13T09:36:00Z</dcterms:created>
  <dcterms:modified xsi:type="dcterms:W3CDTF">2026-01-13T09:36:00Z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0x010100C693CB2774721D40A3D8F20859A35295</vt:lpwstr>
  </property>
</Properties>
</file>